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BBB" w:rsidRPr="005F0C09" w:rsidRDefault="005F0C09" w:rsidP="005F0C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C0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F0C09" w:rsidRPr="005F0C09" w:rsidRDefault="005F0C09" w:rsidP="005F0C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C09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5F0C09" w:rsidRPr="005F0C09" w:rsidRDefault="005F0C09" w:rsidP="005F0C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C09">
        <w:rPr>
          <w:rFonts w:ascii="Times New Roman" w:hAnsi="Times New Roman" w:cs="Times New Roman"/>
          <w:b/>
          <w:sz w:val="28"/>
          <w:szCs w:val="28"/>
        </w:rPr>
        <w:t>Усольское районное муниципальное образование</w:t>
      </w:r>
    </w:p>
    <w:p w:rsidR="005F0C09" w:rsidRPr="00AE29F6" w:rsidRDefault="005F0C09" w:rsidP="005F0C09">
      <w:pPr>
        <w:jc w:val="center"/>
        <w:rPr>
          <w:rFonts w:ascii="Times New Roman" w:hAnsi="Times New Roman" w:cs="Times New Roman"/>
          <w:b/>
        </w:rPr>
      </w:pPr>
      <w:r w:rsidRPr="00AE29F6">
        <w:rPr>
          <w:rFonts w:ascii="Times New Roman" w:hAnsi="Times New Roman" w:cs="Times New Roman"/>
          <w:b/>
        </w:rPr>
        <w:t>АДМИНИСТРАЦИЯ</w:t>
      </w:r>
    </w:p>
    <w:p w:rsidR="005F0C09" w:rsidRPr="00AE29F6" w:rsidRDefault="005F0C09" w:rsidP="005F0C09">
      <w:pPr>
        <w:jc w:val="center"/>
        <w:rPr>
          <w:rFonts w:ascii="Times New Roman" w:hAnsi="Times New Roman" w:cs="Times New Roman"/>
        </w:rPr>
      </w:pPr>
      <w:r w:rsidRPr="00AE29F6">
        <w:rPr>
          <w:rFonts w:ascii="Times New Roman" w:hAnsi="Times New Roman" w:cs="Times New Roman"/>
          <w:b/>
        </w:rPr>
        <w:t>городского поселения</w:t>
      </w:r>
    </w:p>
    <w:p w:rsidR="005F0C09" w:rsidRPr="00AE29F6" w:rsidRDefault="005F0C09" w:rsidP="005F0C09">
      <w:pPr>
        <w:jc w:val="center"/>
        <w:rPr>
          <w:rFonts w:ascii="Times New Roman" w:hAnsi="Times New Roman" w:cs="Times New Roman"/>
          <w:b/>
        </w:rPr>
      </w:pPr>
      <w:r w:rsidRPr="00AE29F6">
        <w:rPr>
          <w:rFonts w:ascii="Times New Roman" w:hAnsi="Times New Roman" w:cs="Times New Roman"/>
          <w:b/>
        </w:rPr>
        <w:t>Мишелевского муниципального образования</w:t>
      </w:r>
    </w:p>
    <w:p w:rsidR="005F0C09" w:rsidRPr="00AE29F6" w:rsidRDefault="005F0C09" w:rsidP="005F0C09">
      <w:pPr>
        <w:jc w:val="center"/>
        <w:rPr>
          <w:rFonts w:ascii="Times New Roman" w:hAnsi="Times New Roman" w:cs="Times New Roman"/>
          <w:b/>
        </w:rPr>
      </w:pPr>
    </w:p>
    <w:p w:rsidR="005F0C09" w:rsidRPr="00AE29F6" w:rsidRDefault="005F0C09" w:rsidP="005F0C09">
      <w:pPr>
        <w:jc w:val="center"/>
        <w:rPr>
          <w:rFonts w:ascii="Times New Roman" w:hAnsi="Times New Roman" w:cs="Times New Roman"/>
          <w:b/>
        </w:rPr>
      </w:pPr>
      <w:r w:rsidRPr="00AE29F6">
        <w:rPr>
          <w:rFonts w:ascii="Times New Roman" w:hAnsi="Times New Roman" w:cs="Times New Roman"/>
          <w:b/>
        </w:rPr>
        <w:t>П О С Т А Н О В Л Е Н И Е</w:t>
      </w:r>
    </w:p>
    <w:p w:rsidR="005F0C09" w:rsidRPr="00AE29F6" w:rsidRDefault="005F0C09" w:rsidP="005F0C09">
      <w:pPr>
        <w:jc w:val="center"/>
        <w:rPr>
          <w:rFonts w:ascii="Times New Roman" w:hAnsi="Times New Roman" w:cs="Times New Roman"/>
          <w:b/>
        </w:rPr>
      </w:pPr>
    </w:p>
    <w:p w:rsidR="005F0C09" w:rsidRPr="00244C3D" w:rsidRDefault="005F0C09" w:rsidP="005F0C09">
      <w:pPr>
        <w:jc w:val="both"/>
        <w:rPr>
          <w:rFonts w:ascii="Times New Roman" w:hAnsi="Times New Roman" w:cs="Times New Roman"/>
          <w:lang w:val="ru-RU"/>
        </w:rPr>
      </w:pPr>
      <w:r w:rsidRPr="00AE29F6">
        <w:rPr>
          <w:rFonts w:ascii="Times New Roman" w:hAnsi="Times New Roman" w:cs="Times New Roman"/>
        </w:rPr>
        <w:t>От</w:t>
      </w:r>
      <w:r w:rsidR="00244C3D">
        <w:rPr>
          <w:rFonts w:ascii="Times New Roman" w:hAnsi="Times New Roman" w:cs="Times New Roman"/>
          <w:lang w:val="ru-RU"/>
        </w:rPr>
        <w:t xml:space="preserve"> 14.12.2015</w:t>
      </w:r>
      <w:r w:rsidRPr="00AE29F6">
        <w:rPr>
          <w:rFonts w:ascii="Times New Roman" w:hAnsi="Times New Roman" w:cs="Times New Roman"/>
        </w:rPr>
        <w:t xml:space="preserve">                                                      </w:t>
      </w:r>
      <w:r w:rsidR="00A906A3">
        <w:rPr>
          <w:rFonts w:ascii="Times New Roman" w:hAnsi="Times New Roman" w:cs="Times New Roman"/>
        </w:rPr>
        <w:tab/>
      </w:r>
      <w:r w:rsidR="00A906A3">
        <w:rPr>
          <w:rFonts w:ascii="Times New Roman" w:hAnsi="Times New Roman" w:cs="Times New Roman"/>
        </w:rPr>
        <w:tab/>
      </w:r>
      <w:r w:rsidR="00244C3D">
        <w:rPr>
          <w:rFonts w:ascii="Times New Roman" w:hAnsi="Times New Roman" w:cs="Times New Roman"/>
        </w:rPr>
        <w:tab/>
      </w:r>
      <w:r w:rsidR="00244C3D">
        <w:rPr>
          <w:rFonts w:ascii="Times New Roman" w:hAnsi="Times New Roman" w:cs="Times New Roman"/>
        </w:rPr>
        <w:tab/>
      </w:r>
      <w:r w:rsidR="00244C3D">
        <w:rPr>
          <w:rFonts w:ascii="Times New Roman" w:hAnsi="Times New Roman" w:cs="Times New Roman"/>
        </w:rPr>
        <w:tab/>
      </w:r>
      <w:r w:rsidR="00244C3D">
        <w:rPr>
          <w:rFonts w:ascii="Times New Roman" w:hAnsi="Times New Roman" w:cs="Times New Roman"/>
        </w:rPr>
        <w:tab/>
      </w:r>
      <w:r w:rsidRPr="00AE29F6">
        <w:rPr>
          <w:rFonts w:ascii="Times New Roman" w:hAnsi="Times New Roman" w:cs="Times New Roman"/>
        </w:rPr>
        <w:t xml:space="preserve"> № </w:t>
      </w:r>
      <w:r w:rsidR="00244C3D">
        <w:rPr>
          <w:rFonts w:ascii="Times New Roman" w:hAnsi="Times New Roman" w:cs="Times New Roman"/>
          <w:lang w:val="ru-RU"/>
        </w:rPr>
        <w:t>295</w:t>
      </w:r>
    </w:p>
    <w:p w:rsidR="005F0C09" w:rsidRPr="00AE29F6" w:rsidRDefault="00232670" w:rsidP="00244C3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</w:t>
      </w:r>
      <w:r w:rsidR="005F0C09" w:rsidRPr="00AE29F6">
        <w:rPr>
          <w:rFonts w:ascii="Times New Roman" w:hAnsi="Times New Roman" w:cs="Times New Roman"/>
        </w:rPr>
        <w:t>п. Мишелевка</w:t>
      </w:r>
    </w:p>
    <w:p w:rsidR="005F0C09" w:rsidRPr="00AE29F6" w:rsidRDefault="005F0C09" w:rsidP="005F0C09">
      <w:pPr>
        <w:jc w:val="center"/>
        <w:rPr>
          <w:rFonts w:ascii="Times New Roman" w:hAnsi="Times New Roman" w:cs="Times New Roman"/>
        </w:rPr>
      </w:pPr>
    </w:p>
    <w:p w:rsidR="005F0C09" w:rsidRDefault="00B45D47" w:rsidP="005F0C0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установлении тарифов на горячую воду</w:t>
      </w:r>
    </w:p>
    <w:p w:rsidR="000B329A" w:rsidRDefault="00232670" w:rsidP="005F0C0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для  ООО «Энергия</w:t>
      </w:r>
      <w:r w:rsidR="000B329A">
        <w:rPr>
          <w:rFonts w:ascii="Times New Roman" w:hAnsi="Times New Roman" w:cs="Times New Roman"/>
          <w:b/>
        </w:rPr>
        <w:t>», обеспечивающего горячее</w:t>
      </w:r>
    </w:p>
    <w:p w:rsidR="000B329A" w:rsidRDefault="000B329A" w:rsidP="005F0C0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водоснабжение с использованием закрытой</w:t>
      </w:r>
    </w:p>
    <w:p w:rsidR="000B329A" w:rsidRDefault="006A524D" w:rsidP="005F0C0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системы горячего водоснабжения</w:t>
      </w:r>
    </w:p>
    <w:p w:rsidR="006B070D" w:rsidRPr="00AE29F6" w:rsidRDefault="006B070D" w:rsidP="005F0C09">
      <w:pPr>
        <w:jc w:val="center"/>
        <w:rPr>
          <w:rFonts w:ascii="Times New Roman" w:hAnsi="Times New Roman" w:cs="Times New Roman"/>
          <w:b/>
        </w:rPr>
      </w:pPr>
    </w:p>
    <w:p w:rsidR="00BA3082" w:rsidRDefault="009D78A4" w:rsidP="005F0C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6B070D">
        <w:rPr>
          <w:rFonts w:ascii="Times New Roman" w:hAnsi="Times New Roman" w:cs="Times New Roman"/>
        </w:rPr>
        <w:t>В</w:t>
      </w:r>
      <w:r w:rsidR="00645F25">
        <w:rPr>
          <w:rFonts w:ascii="Times New Roman" w:hAnsi="Times New Roman" w:cs="Times New Roman"/>
        </w:rPr>
        <w:t xml:space="preserve"> </w:t>
      </w:r>
      <w:r w:rsidR="006B070D">
        <w:rPr>
          <w:rFonts w:ascii="Times New Roman" w:hAnsi="Times New Roman" w:cs="Times New Roman"/>
        </w:rPr>
        <w:t xml:space="preserve"> </w:t>
      </w:r>
      <w:r w:rsidR="00F13CCB" w:rsidRPr="00F13CCB">
        <w:rPr>
          <w:rFonts w:ascii="Times New Roman" w:hAnsi="Times New Roman" w:cs="Times New Roman"/>
        </w:rPr>
        <w:t xml:space="preserve">соответствии </w:t>
      </w:r>
      <w:r w:rsidR="00E53EA4">
        <w:rPr>
          <w:rFonts w:ascii="Times New Roman" w:hAnsi="Times New Roman" w:cs="Times New Roman"/>
        </w:rPr>
        <w:t xml:space="preserve"> </w:t>
      </w:r>
      <w:r w:rsidR="006B070D">
        <w:rPr>
          <w:rFonts w:ascii="Times New Roman" w:hAnsi="Times New Roman" w:cs="Times New Roman"/>
        </w:rPr>
        <w:t xml:space="preserve"> с </w:t>
      </w:r>
      <w:r w:rsidR="00645F25">
        <w:rPr>
          <w:rFonts w:ascii="Times New Roman" w:hAnsi="Times New Roman" w:cs="Times New Roman"/>
        </w:rPr>
        <w:t xml:space="preserve">Федеральным  законом от 7 декабря 2011 года № 416-ФЗ </w:t>
      </w:r>
      <w:r w:rsidR="0083044F">
        <w:rPr>
          <w:rFonts w:ascii="Times New Roman" w:hAnsi="Times New Roman" w:cs="Times New Roman"/>
        </w:rPr>
        <w:t>«О водоснабжении и водоотведении»</w:t>
      </w:r>
      <w:r w:rsidR="00DB36DA">
        <w:rPr>
          <w:rFonts w:ascii="Times New Roman" w:hAnsi="Times New Roman" w:cs="Times New Roman"/>
        </w:rPr>
        <w:t>, постановлением  Правительства Российской Федерации  от 13 мая 2013 года № 406 «О государственном регули</w:t>
      </w:r>
      <w:r w:rsidR="0039203A">
        <w:rPr>
          <w:rFonts w:ascii="Times New Roman" w:hAnsi="Times New Roman" w:cs="Times New Roman"/>
        </w:rPr>
        <w:t>р</w:t>
      </w:r>
      <w:r w:rsidR="00DB36DA">
        <w:rPr>
          <w:rFonts w:ascii="Times New Roman" w:hAnsi="Times New Roman" w:cs="Times New Roman"/>
        </w:rPr>
        <w:t>овании</w:t>
      </w:r>
      <w:r w:rsidR="0039203A">
        <w:rPr>
          <w:rFonts w:ascii="Times New Roman" w:hAnsi="Times New Roman" w:cs="Times New Roman"/>
        </w:rPr>
        <w:t xml:space="preserve"> тарифов в сфере водоснабжения и водоотведения», </w:t>
      </w:r>
      <w:r w:rsidR="00DC62B3">
        <w:rPr>
          <w:rFonts w:ascii="Times New Roman" w:hAnsi="Times New Roman" w:cs="Times New Roman"/>
        </w:rPr>
        <w:t>законом Иркутской области</w:t>
      </w:r>
      <w:r w:rsidR="00AD30AF">
        <w:rPr>
          <w:rFonts w:ascii="Times New Roman" w:hAnsi="Times New Roman" w:cs="Times New Roman"/>
        </w:rPr>
        <w:t xml:space="preserve"> от 06 ноября 2012 года</w:t>
      </w:r>
      <w:r w:rsidR="00336F63">
        <w:rPr>
          <w:rFonts w:ascii="Times New Roman" w:hAnsi="Times New Roman" w:cs="Times New Roman"/>
        </w:rPr>
        <w:t xml:space="preserve">  114 –ОЗ «О </w:t>
      </w:r>
      <w:r w:rsidR="00E550A2">
        <w:rPr>
          <w:rFonts w:ascii="Times New Roman" w:hAnsi="Times New Roman" w:cs="Times New Roman"/>
        </w:rPr>
        <w:t>наделении органов местного самоуправления отдельными областными полномочиями в сфере водоснабжения и водоотведения»</w:t>
      </w:r>
      <w:r w:rsidR="006B070D">
        <w:rPr>
          <w:rFonts w:ascii="Times New Roman" w:hAnsi="Times New Roman" w:cs="Times New Roman"/>
        </w:rPr>
        <w:t>,</w:t>
      </w:r>
      <w:r w:rsidR="00371068" w:rsidRPr="00371068">
        <w:rPr>
          <w:rFonts w:ascii="Times New Roman" w:hAnsi="Times New Roman" w:cs="Times New Roman"/>
        </w:rPr>
        <w:t xml:space="preserve"> </w:t>
      </w:r>
      <w:r w:rsidR="00371068">
        <w:rPr>
          <w:rFonts w:ascii="Times New Roman" w:hAnsi="Times New Roman" w:cs="Times New Roman"/>
        </w:rPr>
        <w:t xml:space="preserve">учитывая итоги рассмотрения данного вопроса на заседании экспертной комиссии  администрации городского поселения Мишелевского муниципального образования 30 ноября 2015 года, </w:t>
      </w:r>
      <w:r w:rsidR="006B070D">
        <w:rPr>
          <w:rFonts w:ascii="Times New Roman" w:hAnsi="Times New Roman" w:cs="Times New Roman"/>
        </w:rPr>
        <w:t xml:space="preserve"> </w:t>
      </w:r>
      <w:r w:rsidR="000227ED" w:rsidRPr="00AE29F6">
        <w:rPr>
          <w:rFonts w:ascii="Times New Roman" w:hAnsi="Times New Roman" w:cs="Times New Roman"/>
        </w:rPr>
        <w:t>руководствуясь ст.ст 23, 46 Устава Мишелевского муниципального образования</w:t>
      </w:r>
      <w:r w:rsidR="00DE190D" w:rsidRPr="00AE29F6">
        <w:rPr>
          <w:rFonts w:ascii="Times New Roman" w:hAnsi="Times New Roman" w:cs="Times New Roman"/>
        </w:rPr>
        <w:t>, администрация городского поселения Мишелевского муниципального образования</w:t>
      </w:r>
      <w:r w:rsidR="00B13CAD">
        <w:rPr>
          <w:rFonts w:ascii="Times New Roman" w:hAnsi="Times New Roman" w:cs="Times New Roman"/>
        </w:rPr>
        <w:t xml:space="preserve">, </w:t>
      </w:r>
    </w:p>
    <w:p w:rsidR="000227ED" w:rsidRPr="00AE29F6" w:rsidRDefault="009046B2" w:rsidP="005F0C0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0227ED" w:rsidRPr="00AE29F6">
        <w:rPr>
          <w:rFonts w:ascii="Times New Roman" w:hAnsi="Times New Roman" w:cs="Times New Roman"/>
          <w:b/>
        </w:rPr>
        <w:t>П О С Т А Н О В Л Я Е Т:</w:t>
      </w:r>
    </w:p>
    <w:p w:rsidR="00EB4AE8" w:rsidRPr="009C339C" w:rsidRDefault="00F367CC" w:rsidP="009C339C">
      <w:pPr>
        <w:pStyle w:val="a5"/>
        <w:numPr>
          <w:ilvl w:val="0"/>
          <w:numId w:val="1"/>
        </w:numPr>
        <w:ind w:left="0" w:firstLine="3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</w:t>
      </w:r>
      <w:r w:rsidR="007B1632">
        <w:rPr>
          <w:rFonts w:ascii="Times New Roman" w:hAnsi="Times New Roman" w:cs="Times New Roman"/>
        </w:rPr>
        <w:t>ановить и ввести в действие с 1</w:t>
      </w:r>
      <w:r w:rsidR="00F83BF8">
        <w:rPr>
          <w:rFonts w:ascii="Times New Roman" w:hAnsi="Times New Roman" w:cs="Times New Roman"/>
        </w:rPr>
        <w:t>4</w:t>
      </w:r>
      <w:r w:rsidR="007C79A1">
        <w:rPr>
          <w:rFonts w:ascii="Times New Roman" w:hAnsi="Times New Roman" w:cs="Times New Roman"/>
        </w:rPr>
        <w:t xml:space="preserve"> декабря</w:t>
      </w:r>
      <w:r w:rsidR="007B1632">
        <w:rPr>
          <w:rFonts w:ascii="Times New Roman" w:hAnsi="Times New Roman" w:cs="Times New Roman"/>
        </w:rPr>
        <w:t xml:space="preserve"> 2015 года </w:t>
      </w:r>
      <w:r w:rsidR="009A63B5">
        <w:rPr>
          <w:rFonts w:ascii="Times New Roman" w:hAnsi="Times New Roman" w:cs="Times New Roman"/>
        </w:rPr>
        <w:t>по 31 декабря 2015 года</w:t>
      </w:r>
      <w:r w:rsidR="007B1632">
        <w:rPr>
          <w:rFonts w:ascii="Times New Roman" w:hAnsi="Times New Roman" w:cs="Times New Roman"/>
        </w:rPr>
        <w:t xml:space="preserve"> тарифы </w:t>
      </w:r>
      <w:r w:rsidR="00BB18E3">
        <w:rPr>
          <w:rFonts w:ascii="Times New Roman" w:hAnsi="Times New Roman" w:cs="Times New Roman"/>
        </w:rPr>
        <w:t xml:space="preserve">на горячую воду для </w:t>
      </w:r>
      <w:r w:rsidR="009A63B5">
        <w:rPr>
          <w:rFonts w:ascii="Times New Roman" w:hAnsi="Times New Roman" w:cs="Times New Roman"/>
        </w:rPr>
        <w:t>ООО «Энергия</w:t>
      </w:r>
      <w:r w:rsidR="00611B41">
        <w:rPr>
          <w:rFonts w:ascii="Times New Roman" w:hAnsi="Times New Roman" w:cs="Times New Roman"/>
        </w:rPr>
        <w:t>», обеспечивающего горячее водоснабжение с использованием</w:t>
      </w:r>
      <w:r w:rsidR="000353DB">
        <w:rPr>
          <w:rFonts w:ascii="Times New Roman" w:hAnsi="Times New Roman" w:cs="Times New Roman"/>
        </w:rPr>
        <w:t xml:space="preserve"> закрытой системы горячего водоснабжения </w:t>
      </w:r>
      <w:r w:rsidR="008029A8">
        <w:rPr>
          <w:rFonts w:ascii="Times New Roman" w:hAnsi="Times New Roman" w:cs="Times New Roman"/>
        </w:rPr>
        <w:t>согласно приложению.</w:t>
      </w:r>
      <w:r w:rsidR="00E159C2" w:rsidRPr="00E159C2">
        <w:rPr>
          <w:rFonts w:ascii="Times New Roman" w:hAnsi="Times New Roman" w:cs="Times New Roman"/>
        </w:rPr>
        <w:t xml:space="preserve"> </w:t>
      </w:r>
      <w:r w:rsidR="00A607B1" w:rsidRPr="00A607B1">
        <w:rPr>
          <w:rFonts w:ascii="Times New Roman" w:hAnsi="Times New Roman" w:cs="Times New Roman"/>
        </w:rPr>
        <w:t xml:space="preserve"> </w:t>
      </w:r>
    </w:p>
    <w:p w:rsidR="00EB4AE8" w:rsidRDefault="00EB4AE8" w:rsidP="000541C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Настоящее постановление </w:t>
      </w:r>
      <w:r w:rsidR="00A906A3">
        <w:rPr>
          <w:rFonts w:ascii="Times New Roman" w:hAnsi="Times New Roman" w:cs="Times New Roman"/>
        </w:rPr>
        <w:t>опубликовать в</w:t>
      </w:r>
      <w:r>
        <w:rPr>
          <w:rFonts w:ascii="Times New Roman" w:hAnsi="Times New Roman" w:cs="Times New Roman"/>
        </w:rPr>
        <w:t xml:space="preserve"> газете «Новости» и разместить на официальном сайте </w:t>
      </w:r>
      <w:r w:rsidR="00A906A3">
        <w:rPr>
          <w:rFonts w:ascii="Times New Roman" w:hAnsi="Times New Roman" w:cs="Times New Roman"/>
        </w:rPr>
        <w:t>администрации Мишелевского</w:t>
      </w:r>
      <w:r>
        <w:rPr>
          <w:rFonts w:ascii="Times New Roman" w:hAnsi="Times New Roman" w:cs="Times New Roman"/>
        </w:rPr>
        <w:t xml:space="preserve"> муниципального образования</w:t>
      </w:r>
      <w:r w:rsidR="006F11DA">
        <w:rPr>
          <w:rFonts w:ascii="Times New Roman" w:hAnsi="Times New Roman" w:cs="Times New Roman"/>
        </w:rPr>
        <w:t xml:space="preserve"> </w:t>
      </w:r>
      <w:r w:rsidR="000541C6" w:rsidRPr="000541C6">
        <w:rPr>
          <w:rFonts w:ascii="Times New Roman" w:hAnsi="Times New Roman" w:cs="Times New Roman"/>
        </w:rPr>
        <w:t xml:space="preserve">в </w:t>
      </w:r>
      <w:r w:rsidR="000541C6">
        <w:rPr>
          <w:rFonts w:ascii="Times New Roman" w:hAnsi="Times New Roman" w:cs="Times New Roman"/>
        </w:rPr>
        <w:t xml:space="preserve"> информационно-</w:t>
      </w:r>
      <w:r w:rsidR="00A906A3">
        <w:rPr>
          <w:rFonts w:ascii="Times New Roman" w:hAnsi="Times New Roman" w:cs="Times New Roman"/>
          <w:lang w:val="ru-RU"/>
        </w:rPr>
        <w:t>теле</w:t>
      </w:r>
      <w:r w:rsidR="000541C6">
        <w:rPr>
          <w:rFonts w:ascii="Times New Roman" w:hAnsi="Times New Roman" w:cs="Times New Roman"/>
        </w:rPr>
        <w:t xml:space="preserve">коммуникационной </w:t>
      </w:r>
      <w:r w:rsidR="000541C6" w:rsidRPr="000541C6">
        <w:rPr>
          <w:rFonts w:ascii="Times New Roman" w:hAnsi="Times New Roman" w:cs="Times New Roman"/>
        </w:rPr>
        <w:t>сети «Интернет»</w:t>
      </w:r>
      <w:r>
        <w:rPr>
          <w:rFonts w:ascii="Times New Roman" w:hAnsi="Times New Roman" w:cs="Times New Roman"/>
        </w:rPr>
        <w:t>.</w:t>
      </w:r>
    </w:p>
    <w:p w:rsidR="00EB4AE8" w:rsidRDefault="00EB4AE8" w:rsidP="00EB4AE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 за исполнением данного постановления оставляю за собой.</w:t>
      </w:r>
    </w:p>
    <w:p w:rsidR="009C339C" w:rsidRDefault="009C339C" w:rsidP="00EB4AE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Считать утратившим силу</w:t>
      </w:r>
      <w:r w:rsidR="00F83BF8">
        <w:rPr>
          <w:rFonts w:ascii="Times New Roman" w:hAnsi="Times New Roman" w:cs="Times New Roman"/>
        </w:rPr>
        <w:t xml:space="preserve"> с 14</w:t>
      </w:r>
      <w:r w:rsidR="00B44AC5">
        <w:rPr>
          <w:rFonts w:ascii="Times New Roman" w:hAnsi="Times New Roman" w:cs="Times New Roman"/>
        </w:rPr>
        <w:t xml:space="preserve"> декабря 2015 года</w:t>
      </w:r>
      <w:r>
        <w:rPr>
          <w:rFonts w:ascii="Times New Roman" w:hAnsi="Times New Roman" w:cs="Times New Roman"/>
        </w:rPr>
        <w:t xml:space="preserve"> постановление главы администрации городского поселения</w:t>
      </w:r>
      <w:r w:rsidR="006F11DA">
        <w:rPr>
          <w:rFonts w:ascii="Times New Roman" w:hAnsi="Times New Roman" w:cs="Times New Roman"/>
        </w:rPr>
        <w:t xml:space="preserve"> Мишелевского муниципального образования </w:t>
      </w:r>
      <w:r w:rsidR="00A906A3">
        <w:rPr>
          <w:rFonts w:ascii="Times New Roman" w:hAnsi="Times New Roman" w:cs="Times New Roman"/>
        </w:rPr>
        <w:t xml:space="preserve">от </w:t>
      </w:r>
      <w:r w:rsidR="00A906A3">
        <w:rPr>
          <w:rFonts w:ascii="Times New Roman" w:hAnsi="Times New Roman" w:cs="Times New Roman"/>
          <w:lang w:val="ru-RU"/>
        </w:rPr>
        <w:t xml:space="preserve">19 декабря 2012 года </w:t>
      </w:r>
      <w:r w:rsidR="00477BC6">
        <w:rPr>
          <w:rFonts w:ascii="Times New Roman" w:hAnsi="Times New Roman" w:cs="Times New Roman"/>
        </w:rPr>
        <w:t xml:space="preserve">№ 24 «Об установлении тарифов на горячую воду для ООО </w:t>
      </w:r>
      <w:r w:rsidR="0026756D">
        <w:rPr>
          <w:rFonts w:ascii="Times New Roman" w:hAnsi="Times New Roman" w:cs="Times New Roman"/>
        </w:rPr>
        <w:t>«Теплоисточник», обеспечивающего горячее водоснабжение с использованием закрытой с</w:t>
      </w:r>
      <w:r w:rsidR="00DF758B">
        <w:rPr>
          <w:rFonts w:ascii="Times New Roman" w:hAnsi="Times New Roman" w:cs="Times New Roman"/>
        </w:rPr>
        <w:t>и</w:t>
      </w:r>
      <w:r w:rsidR="0026756D">
        <w:rPr>
          <w:rFonts w:ascii="Times New Roman" w:hAnsi="Times New Roman" w:cs="Times New Roman"/>
        </w:rPr>
        <w:t>стемы горячего водоснабжения»</w:t>
      </w:r>
      <w:r w:rsidR="00DF758B">
        <w:rPr>
          <w:rFonts w:ascii="Times New Roman" w:hAnsi="Times New Roman" w:cs="Times New Roman"/>
        </w:rPr>
        <w:t>.</w:t>
      </w:r>
    </w:p>
    <w:p w:rsidR="00EB4AE8" w:rsidRPr="00AE29F6" w:rsidRDefault="00EB4AE8" w:rsidP="00DE190D">
      <w:pPr>
        <w:rPr>
          <w:rFonts w:ascii="Times New Roman" w:hAnsi="Times New Roman" w:cs="Times New Roman"/>
        </w:rPr>
      </w:pPr>
    </w:p>
    <w:p w:rsidR="0095454A" w:rsidRPr="00AE29F6" w:rsidRDefault="0095454A" w:rsidP="0095454A">
      <w:pPr>
        <w:jc w:val="both"/>
        <w:rPr>
          <w:rFonts w:ascii="Times New Roman" w:hAnsi="Times New Roman" w:cs="Times New Roman"/>
        </w:rPr>
      </w:pPr>
    </w:p>
    <w:p w:rsidR="0095454A" w:rsidRPr="00AE29F6" w:rsidRDefault="0095454A" w:rsidP="0095454A">
      <w:pPr>
        <w:jc w:val="both"/>
        <w:rPr>
          <w:rFonts w:ascii="Times New Roman" w:hAnsi="Times New Roman" w:cs="Times New Roman"/>
        </w:rPr>
      </w:pPr>
    </w:p>
    <w:p w:rsidR="0095454A" w:rsidRPr="00AE29F6" w:rsidRDefault="00532F95" w:rsidP="009545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Глава</w:t>
      </w:r>
      <w:r w:rsidR="0095454A" w:rsidRPr="00AE29F6">
        <w:rPr>
          <w:rFonts w:ascii="Times New Roman" w:hAnsi="Times New Roman" w:cs="Times New Roman"/>
        </w:rPr>
        <w:t xml:space="preserve"> городского поселения </w:t>
      </w:r>
    </w:p>
    <w:p w:rsidR="0095454A" w:rsidRPr="00AE29F6" w:rsidRDefault="0095454A" w:rsidP="0095454A">
      <w:pPr>
        <w:jc w:val="both"/>
        <w:rPr>
          <w:rFonts w:ascii="Times New Roman" w:hAnsi="Times New Roman" w:cs="Times New Roman"/>
        </w:rPr>
      </w:pPr>
      <w:r w:rsidRPr="00AE29F6">
        <w:rPr>
          <w:rFonts w:ascii="Times New Roman" w:hAnsi="Times New Roman" w:cs="Times New Roman"/>
        </w:rPr>
        <w:t>Мишелевского муниципального</w:t>
      </w:r>
    </w:p>
    <w:p w:rsidR="0095454A" w:rsidRDefault="0095454A" w:rsidP="0095454A">
      <w:pPr>
        <w:jc w:val="both"/>
        <w:rPr>
          <w:rFonts w:ascii="Times New Roman" w:hAnsi="Times New Roman" w:cs="Times New Roman"/>
        </w:rPr>
      </w:pPr>
      <w:r w:rsidRPr="00AE29F6">
        <w:rPr>
          <w:rFonts w:ascii="Times New Roman" w:hAnsi="Times New Roman" w:cs="Times New Roman"/>
        </w:rPr>
        <w:t xml:space="preserve">образования                                                                                          </w:t>
      </w:r>
      <w:r w:rsidR="00532F95">
        <w:rPr>
          <w:rFonts w:ascii="Times New Roman" w:hAnsi="Times New Roman" w:cs="Times New Roman"/>
        </w:rPr>
        <w:t>А.Н. Рахвалов</w:t>
      </w:r>
    </w:p>
    <w:p w:rsidR="000451BA" w:rsidRDefault="000451BA" w:rsidP="0095454A">
      <w:pPr>
        <w:jc w:val="both"/>
        <w:rPr>
          <w:rFonts w:ascii="Times New Roman" w:hAnsi="Times New Roman" w:cs="Times New Roman"/>
        </w:rPr>
      </w:pPr>
    </w:p>
    <w:p w:rsidR="000451BA" w:rsidRDefault="000451BA" w:rsidP="0095454A">
      <w:pPr>
        <w:jc w:val="both"/>
        <w:rPr>
          <w:rFonts w:ascii="Times New Roman" w:hAnsi="Times New Roman" w:cs="Times New Roman"/>
        </w:rPr>
      </w:pPr>
    </w:p>
    <w:p w:rsidR="000451BA" w:rsidRDefault="000451BA" w:rsidP="0095454A">
      <w:pPr>
        <w:jc w:val="both"/>
        <w:rPr>
          <w:rFonts w:ascii="Times New Roman" w:hAnsi="Times New Roman" w:cs="Times New Roman"/>
        </w:rPr>
      </w:pPr>
    </w:p>
    <w:p w:rsidR="000451BA" w:rsidRDefault="000451BA" w:rsidP="0095454A">
      <w:pPr>
        <w:jc w:val="both"/>
        <w:rPr>
          <w:rFonts w:ascii="Times New Roman" w:hAnsi="Times New Roman" w:cs="Times New Roman"/>
        </w:rPr>
      </w:pPr>
    </w:p>
    <w:p w:rsidR="000451BA" w:rsidRDefault="000451BA" w:rsidP="0095454A">
      <w:pPr>
        <w:jc w:val="both"/>
        <w:rPr>
          <w:rFonts w:ascii="Times New Roman" w:hAnsi="Times New Roman" w:cs="Times New Roman"/>
        </w:rPr>
      </w:pPr>
    </w:p>
    <w:p w:rsidR="000451BA" w:rsidRDefault="000451BA" w:rsidP="000451BA">
      <w:pPr>
        <w:tabs>
          <w:tab w:val="left" w:pos="9355"/>
        </w:tabs>
        <w:ind w:left="5812"/>
        <w:rPr>
          <w:sz w:val="20"/>
          <w:szCs w:val="20"/>
          <w:lang w:val="ru-RU"/>
        </w:rPr>
      </w:pPr>
      <w:r>
        <w:rPr>
          <w:sz w:val="20"/>
          <w:szCs w:val="20"/>
        </w:rPr>
        <w:lastRenderedPageBreak/>
        <w:t>Приложение</w:t>
      </w:r>
      <w:r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 xml:space="preserve"> к постановлению администрации</w:t>
      </w:r>
      <w:r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>городского поселения</w:t>
      </w:r>
      <w:r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Мишелевского </w:t>
      </w:r>
      <w:r>
        <w:rPr>
          <w:sz w:val="20"/>
          <w:szCs w:val="20"/>
          <w:lang w:val="ru-RU"/>
        </w:rPr>
        <w:t>м</w:t>
      </w:r>
      <w:r>
        <w:rPr>
          <w:sz w:val="20"/>
          <w:szCs w:val="20"/>
        </w:rPr>
        <w:t>муниципального</w:t>
      </w:r>
      <w:r>
        <w:rPr>
          <w:sz w:val="20"/>
          <w:szCs w:val="20"/>
        </w:rPr>
        <w:t xml:space="preserve"> образования</w:t>
      </w:r>
      <w:r>
        <w:rPr>
          <w:sz w:val="20"/>
          <w:szCs w:val="20"/>
          <w:lang w:val="ru-RU"/>
        </w:rPr>
        <w:t xml:space="preserve">  </w:t>
      </w:r>
    </w:p>
    <w:p w:rsidR="000451BA" w:rsidRDefault="000451BA" w:rsidP="000451BA">
      <w:pPr>
        <w:tabs>
          <w:tab w:val="left" w:pos="9355"/>
        </w:tabs>
        <w:ind w:left="5812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от 14.12.2015    № 295</w:t>
      </w:r>
    </w:p>
    <w:p w:rsidR="000451BA" w:rsidRDefault="000451BA" w:rsidP="000451BA">
      <w:pPr>
        <w:jc w:val="both"/>
      </w:pPr>
    </w:p>
    <w:p w:rsidR="000451BA" w:rsidRDefault="000451BA" w:rsidP="000451BA">
      <w:pPr>
        <w:tabs>
          <w:tab w:val="left" w:pos="7050"/>
        </w:tabs>
        <w:rPr>
          <w:sz w:val="20"/>
          <w:szCs w:val="20"/>
        </w:rPr>
      </w:pPr>
    </w:p>
    <w:p w:rsidR="000451BA" w:rsidRPr="000451BA" w:rsidRDefault="000451BA" w:rsidP="000451BA">
      <w:pPr>
        <w:tabs>
          <w:tab w:val="left" w:pos="7050"/>
        </w:tabs>
        <w:jc w:val="center"/>
        <w:rPr>
          <w:rFonts w:ascii="Times New Roman" w:hAnsi="Times New Roman" w:cs="Times New Roman"/>
          <w:b/>
          <w:i/>
        </w:rPr>
      </w:pPr>
      <w:r w:rsidRPr="000451BA">
        <w:rPr>
          <w:rFonts w:ascii="Times New Roman" w:hAnsi="Times New Roman" w:cs="Times New Roman"/>
          <w:b/>
          <w:i/>
        </w:rPr>
        <w:t>ТАРИФЫ НА ГОРЯЧУЮ ВОДУ ДЛЯ ООО «ЭНЕРГИЯ»,</w:t>
      </w:r>
    </w:p>
    <w:p w:rsidR="000451BA" w:rsidRPr="000451BA" w:rsidRDefault="000451BA" w:rsidP="000451BA">
      <w:pPr>
        <w:tabs>
          <w:tab w:val="left" w:pos="7050"/>
        </w:tabs>
        <w:jc w:val="center"/>
        <w:rPr>
          <w:rFonts w:ascii="Times New Roman" w:hAnsi="Times New Roman" w:cs="Times New Roman"/>
          <w:b/>
          <w:i/>
        </w:rPr>
      </w:pPr>
      <w:r w:rsidRPr="000451BA">
        <w:rPr>
          <w:rFonts w:ascii="Times New Roman" w:hAnsi="Times New Roman" w:cs="Times New Roman"/>
          <w:b/>
          <w:i/>
        </w:rPr>
        <w:t>ОБЕСПЕЧИВАЮЩЕГО ГОРЯЧЕЕ ВОДОСНАБЖЕНИЕ С</w:t>
      </w:r>
    </w:p>
    <w:p w:rsidR="000451BA" w:rsidRPr="000451BA" w:rsidRDefault="000451BA" w:rsidP="000451BA">
      <w:pPr>
        <w:tabs>
          <w:tab w:val="left" w:pos="7050"/>
        </w:tabs>
        <w:jc w:val="center"/>
        <w:rPr>
          <w:rFonts w:ascii="Times New Roman" w:hAnsi="Times New Roman" w:cs="Times New Roman"/>
          <w:b/>
          <w:i/>
        </w:rPr>
      </w:pPr>
      <w:r w:rsidRPr="000451BA">
        <w:rPr>
          <w:rFonts w:ascii="Times New Roman" w:hAnsi="Times New Roman" w:cs="Times New Roman"/>
          <w:b/>
          <w:i/>
        </w:rPr>
        <w:t>ИСПОЛЬЗОВАНИЕМ ЗАКРЫТОЙ СИСТЕМЫ ГОРЯЧЕГО</w:t>
      </w:r>
    </w:p>
    <w:p w:rsidR="000451BA" w:rsidRPr="000451BA" w:rsidRDefault="000451BA" w:rsidP="000451BA">
      <w:pPr>
        <w:tabs>
          <w:tab w:val="left" w:pos="7050"/>
        </w:tabs>
        <w:jc w:val="center"/>
        <w:rPr>
          <w:rFonts w:ascii="Times New Roman" w:hAnsi="Times New Roman" w:cs="Times New Roman"/>
        </w:rPr>
      </w:pPr>
      <w:r w:rsidRPr="000451BA">
        <w:rPr>
          <w:rFonts w:ascii="Times New Roman" w:hAnsi="Times New Roman" w:cs="Times New Roman"/>
          <w:b/>
          <w:i/>
        </w:rPr>
        <w:t>ВОДОСНАБЖЕНИЯ</w:t>
      </w:r>
    </w:p>
    <w:p w:rsidR="000451BA" w:rsidRDefault="000451BA" w:rsidP="000451BA">
      <w:pPr>
        <w:tabs>
          <w:tab w:val="left" w:pos="7050"/>
        </w:tabs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7"/>
        <w:gridCol w:w="2377"/>
        <w:gridCol w:w="2728"/>
        <w:gridCol w:w="1878"/>
        <w:gridCol w:w="1881"/>
      </w:tblGrid>
      <w:tr w:rsidR="000451BA" w:rsidTr="00E77A2B">
        <w:trPr>
          <w:trHeight w:val="665"/>
        </w:trPr>
        <w:tc>
          <w:tcPr>
            <w:tcW w:w="707" w:type="dxa"/>
          </w:tcPr>
          <w:p w:rsidR="000451BA" w:rsidRDefault="000451BA" w:rsidP="00E77A2B">
            <w:pPr>
              <w:tabs>
                <w:tab w:val="left" w:pos="70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№п/п</w:t>
            </w:r>
          </w:p>
        </w:tc>
        <w:tc>
          <w:tcPr>
            <w:tcW w:w="2377" w:type="dxa"/>
          </w:tcPr>
          <w:p w:rsidR="000451BA" w:rsidRDefault="000451BA" w:rsidP="00E77A2B">
            <w:pPr>
              <w:tabs>
                <w:tab w:val="left" w:pos="70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Группа </w:t>
            </w:r>
          </w:p>
          <w:p w:rsidR="000451BA" w:rsidRDefault="000451BA" w:rsidP="00E77A2B">
            <w:pPr>
              <w:tabs>
                <w:tab w:val="left" w:pos="70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потребителей</w:t>
            </w:r>
          </w:p>
        </w:tc>
        <w:tc>
          <w:tcPr>
            <w:tcW w:w="2728" w:type="dxa"/>
          </w:tcPr>
          <w:p w:rsidR="000451BA" w:rsidRDefault="000451BA" w:rsidP="00E77A2B">
            <w:pPr>
              <w:tabs>
                <w:tab w:val="left" w:pos="70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 действия</w:t>
            </w:r>
          </w:p>
        </w:tc>
        <w:tc>
          <w:tcPr>
            <w:tcW w:w="1878" w:type="dxa"/>
          </w:tcPr>
          <w:p w:rsidR="000451BA" w:rsidRDefault="000451BA" w:rsidP="00E77A2B">
            <w:pPr>
              <w:tabs>
                <w:tab w:val="left" w:pos="70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Компонент </w:t>
            </w:r>
          </w:p>
          <w:p w:rsidR="000451BA" w:rsidRDefault="000451BA" w:rsidP="00E77A2B">
            <w:pPr>
              <w:tabs>
                <w:tab w:val="left" w:pos="70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тепловую энергию</w:t>
            </w:r>
          </w:p>
          <w:p w:rsidR="000451BA" w:rsidRDefault="000451BA" w:rsidP="00E77A2B">
            <w:pPr>
              <w:tabs>
                <w:tab w:val="left" w:pos="70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(руб./Гкал.)</w:t>
            </w:r>
          </w:p>
          <w:p w:rsidR="000451BA" w:rsidRDefault="000451BA" w:rsidP="00E77A2B">
            <w:pPr>
              <w:tabs>
                <w:tab w:val="left" w:pos="7050"/>
              </w:tabs>
              <w:rPr>
                <w:sz w:val="20"/>
                <w:szCs w:val="20"/>
              </w:rPr>
            </w:pPr>
          </w:p>
        </w:tc>
        <w:tc>
          <w:tcPr>
            <w:tcW w:w="1881" w:type="dxa"/>
          </w:tcPr>
          <w:p w:rsidR="000451BA" w:rsidRDefault="000451BA" w:rsidP="00E77A2B">
            <w:pPr>
              <w:tabs>
                <w:tab w:val="left" w:pos="70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Компонент </w:t>
            </w:r>
          </w:p>
          <w:p w:rsidR="000451BA" w:rsidRDefault="000451BA" w:rsidP="00E77A2B">
            <w:pPr>
              <w:tabs>
                <w:tab w:val="left" w:pos="70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холодную</w:t>
            </w:r>
          </w:p>
          <w:p w:rsidR="000451BA" w:rsidRDefault="000451BA" w:rsidP="00E77A2B">
            <w:pPr>
              <w:tabs>
                <w:tab w:val="left" w:pos="70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воду (руб./м3)</w:t>
            </w:r>
          </w:p>
        </w:tc>
      </w:tr>
      <w:tr w:rsidR="000451BA" w:rsidTr="00E77A2B">
        <w:trPr>
          <w:trHeight w:val="405"/>
        </w:trPr>
        <w:tc>
          <w:tcPr>
            <w:tcW w:w="707" w:type="dxa"/>
            <w:vMerge w:val="restart"/>
            <w:tcBorders>
              <w:right w:val="single" w:sz="4" w:space="0" w:color="auto"/>
            </w:tcBorders>
          </w:tcPr>
          <w:p w:rsidR="000451BA" w:rsidRDefault="000451BA" w:rsidP="00E77A2B">
            <w:pPr>
              <w:tabs>
                <w:tab w:val="left" w:pos="70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64" w:type="dxa"/>
            <w:gridSpan w:val="4"/>
            <w:tcBorders>
              <w:left w:val="single" w:sz="4" w:space="0" w:color="auto"/>
            </w:tcBorders>
          </w:tcPr>
          <w:p w:rsidR="000451BA" w:rsidRPr="005B5D73" w:rsidRDefault="000451BA" w:rsidP="00E77A2B">
            <w:pPr>
              <w:tabs>
                <w:tab w:val="left" w:pos="705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5B5D73">
              <w:rPr>
                <w:b/>
                <w:i/>
                <w:sz w:val="20"/>
                <w:szCs w:val="20"/>
              </w:rPr>
              <w:t>р.п. Мишелевка</w:t>
            </w:r>
          </w:p>
        </w:tc>
      </w:tr>
      <w:tr w:rsidR="000451BA" w:rsidTr="00E77A2B">
        <w:trPr>
          <w:trHeight w:val="1078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0451BA" w:rsidRDefault="000451BA" w:rsidP="00E77A2B">
            <w:pPr>
              <w:tabs>
                <w:tab w:val="left" w:pos="7050"/>
              </w:tabs>
              <w:rPr>
                <w:sz w:val="20"/>
                <w:szCs w:val="20"/>
              </w:rPr>
            </w:pP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0451BA" w:rsidRDefault="000451BA" w:rsidP="00E77A2B">
            <w:pPr>
              <w:tabs>
                <w:tab w:val="left" w:pos="7050"/>
              </w:tabs>
              <w:jc w:val="center"/>
              <w:rPr>
                <w:sz w:val="20"/>
                <w:szCs w:val="20"/>
              </w:rPr>
            </w:pPr>
          </w:p>
          <w:p w:rsidR="000451BA" w:rsidRDefault="000451BA" w:rsidP="00E77A2B">
            <w:pPr>
              <w:tabs>
                <w:tab w:val="left" w:pos="7050"/>
              </w:tabs>
              <w:jc w:val="center"/>
              <w:rPr>
                <w:sz w:val="20"/>
                <w:szCs w:val="20"/>
              </w:rPr>
            </w:pPr>
          </w:p>
          <w:p w:rsidR="000451BA" w:rsidRDefault="000451BA" w:rsidP="00E77A2B">
            <w:pPr>
              <w:tabs>
                <w:tab w:val="left" w:pos="70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потребители (без НДС)</w:t>
            </w:r>
          </w:p>
        </w:tc>
        <w:tc>
          <w:tcPr>
            <w:tcW w:w="2728" w:type="dxa"/>
          </w:tcPr>
          <w:p w:rsidR="000451BA" w:rsidRDefault="000451BA" w:rsidP="00E77A2B">
            <w:pPr>
              <w:tabs>
                <w:tab w:val="left" w:pos="7050"/>
              </w:tabs>
              <w:jc w:val="center"/>
              <w:rPr>
                <w:sz w:val="20"/>
                <w:szCs w:val="20"/>
              </w:rPr>
            </w:pPr>
          </w:p>
          <w:p w:rsidR="000451BA" w:rsidRDefault="000451BA" w:rsidP="00E77A2B">
            <w:pPr>
              <w:tabs>
                <w:tab w:val="left" w:pos="7050"/>
              </w:tabs>
              <w:jc w:val="center"/>
              <w:rPr>
                <w:sz w:val="20"/>
                <w:szCs w:val="20"/>
              </w:rPr>
            </w:pPr>
          </w:p>
          <w:p w:rsidR="000451BA" w:rsidRDefault="000451BA" w:rsidP="00E77A2B">
            <w:pPr>
              <w:tabs>
                <w:tab w:val="left" w:pos="70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14.12.2015 по 31.12.2015</w:t>
            </w:r>
          </w:p>
        </w:tc>
        <w:tc>
          <w:tcPr>
            <w:tcW w:w="1878" w:type="dxa"/>
          </w:tcPr>
          <w:p w:rsidR="000451BA" w:rsidRDefault="000451BA" w:rsidP="00E77A2B">
            <w:pPr>
              <w:tabs>
                <w:tab w:val="left" w:pos="7050"/>
              </w:tabs>
              <w:jc w:val="center"/>
              <w:rPr>
                <w:sz w:val="20"/>
                <w:szCs w:val="20"/>
              </w:rPr>
            </w:pPr>
          </w:p>
          <w:p w:rsidR="000451BA" w:rsidRDefault="000451BA" w:rsidP="00E77A2B">
            <w:pPr>
              <w:tabs>
                <w:tab w:val="left" w:pos="7050"/>
              </w:tabs>
              <w:jc w:val="center"/>
              <w:rPr>
                <w:sz w:val="20"/>
                <w:szCs w:val="20"/>
              </w:rPr>
            </w:pPr>
          </w:p>
          <w:p w:rsidR="000451BA" w:rsidRDefault="000451BA" w:rsidP="00E77A2B">
            <w:pPr>
              <w:tabs>
                <w:tab w:val="left" w:pos="70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1283,55</w:t>
            </w:r>
          </w:p>
        </w:tc>
        <w:tc>
          <w:tcPr>
            <w:tcW w:w="1881" w:type="dxa"/>
          </w:tcPr>
          <w:p w:rsidR="000451BA" w:rsidRDefault="000451BA" w:rsidP="00E77A2B">
            <w:pPr>
              <w:tabs>
                <w:tab w:val="left" w:pos="7050"/>
              </w:tabs>
              <w:jc w:val="center"/>
              <w:rPr>
                <w:sz w:val="20"/>
                <w:szCs w:val="20"/>
              </w:rPr>
            </w:pPr>
          </w:p>
          <w:p w:rsidR="000451BA" w:rsidRDefault="000451BA" w:rsidP="00E77A2B">
            <w:pPr>
              <w:tabs>
                <w:tab w:val="left" w:pos="7050"/>
              </w:tabs>
              <w:jc w:val="center"/>
              <w:rPr>
                <w:sz w:val="20"/>
                <w:szCs w:val="20"/>
              </w:rPr>
            </w:pPr>
          </w:p>
          <w:p w:rsidR="000451BA" w:rsidRDefault="000451BA" w:rsidP="00E77A2B">
            <w:pPr>
              <w:tabs>
                <w:tab w:val="left" w:pos="70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22,44</w:t>
            </w:r>
          </w:p>
        </w:tc>
      </w:tr>
      <w:tr w:rsidR="000451BA" w:rsidTr="00E77A2B">
        <w:trPr>
          <w:trHeight w:val="1096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0451BA" w:rsidRDefault="000451BA" w:rsidP="00E77A2B">
            <w:pPr>
              <w:tabs>
                <w:tab w:val="left" w:pos="7050"/>
              </w:tabs>
              <w:rPr>
                <w:sz w:val="20"/>
                <w:szCs w:val="20"/>
              </w:rPr>
            </w:pP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0451BA" w:rsidRDefault="000451BA" w:rsidP="00E77A2B">
            <w:pPr>
              <w:tabs>
                <w:tab w:val="left" w:pos="7050"/>
              </w:tabs>
              <w:rPr>
                <w:sz w:val="20"/>
                <w:szCs w:val="20"/>
              </w:rPr>
            </w:pPr>
          </w:p>
          <w:p w:rsidR="000451BA" w:rsidRDefault="000451BA" w:rsidP="00E77A2B">
            <w:pPr>
              <w:tabs>
                <w:tab w:val="left" w:pos="7050"/>
              </w:tabs>
              <w:rPr>
                <w:sz w:val="20"/>
                <w:szCs w:val="20"/>
              </w:rPr>
            </w:pPr>
          </w:p>
          <w:p w:rsidR="000451BA" w:rsidRDefault="000451BA" w:rsidP="00E77A2B">
            <w:pPr>
              <w:tabs>
                <w:tab w:val="left" w:pos="70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Население (без НДС)</w:t>
            </w:r>
          </w:p>
        </w:tc>
        <w:tc>
          <w:tcPr>
            <w:tcW w:w="2728" w:type="dxa"/>
          </w:tcPr>
          <w:p w:rsidR="000451BA" w:rsidRDefault="000451BA" w:rsidP="00E77A2B">
            <w:pPr>
              <w:tabs>
                <w:tab w:val="left" w:pos="7050"/>
              </w:tabs>
              <w:jc w:val="center"/>
              <w:rPr>
                <w:sz w:val="20"/>
                <w:szCs w:val="20"/>
              </w:rPr>
            </w:pPr>
          </w:p>
          <w:p w:rsidR="000451BA" w:rsidRDefault="000451BA" w:rsidP="00E77A2B">
            <w:pPr>
              <w:tabs>
                <w:tab w:val="left" w:pos="7050"/>
              </w:tabs>
              <w:jc w:val="center"/>
              <w:rPr>
                <w:sz w:val="20"/>
                <w:szCs w:val="20"/>
              </w:rPr>
            </w:pPr>
          </w:p>
          <w:p w:rsidR="000451BA" w:rsidRDefault="000451BA" w:rsidP="00E77A2B">
            <w:pPr>
              <w:tabs>
                <w:tab w:val="left" w:pos="70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14.12.2015 по 31.12.2015</w:t>
            </w:r>
          </w:p>
        </w:tc>
        <w:tc>
          <w:tcPr>
            <w:tcW w:w="1878" w:type="dxa"/>
          </w:tcPr>
          <w:p w:rsidR="000451BA" w:rsidRDefault="000451BA" w:rsidP="00E77A2B">
            <w:pPr>
              <w:tabs>
                <w:tab w:val="left" w:pos="7050"/>
              </w:tabs>
              <w:jc w:val="center"/>
              <w:rPr>
                <w:sz w:val="20"/>
                <w:szCs w:val="20"/>
              </w:rPr>
            </w:pPr>
          </w:p>
          <w:p w:rsidR="000451BA" w:rsidRDefault="000451BA" w:rsidP="00E77A2B">
            <w:pPr>
              <w:tabs>
                <w:tab w:val="left" w:pos="7050"/>
              </w:tabs>
              <w:jc w:val="center"/>
              <w:rPr>
                <w:sz w:val="20"/>
                <w:szCs w:val="20"/>
              </w:rPr>
            </w:pPr>
          </w:p>
          <w:p w:rsidR="000451BA" w:rsidRDefault="000451BA" w:rsidP="00E77A2B">
            <w:pPr>
              <w:tabs>
                <w:tab w:val="left" w:pos="70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1178,49</w:t>
            </w:r>
          </w:p>
        </w:tc>
        <w:tc>
          <w:tcPr>
            <w:tcW w:w="1881" w:type="dxa"/>
          </w:tcPr>
          <w:p w:rsidR="000451BA" w:rsidRDefault="000451BA" w:rsidP="00E77A2B">
            <w:pPr>
              <w:tabs>
                <w:tab w:val="left" w:pos="7050"/>
              </w:tabs>
              <w:jc w:val="center"/>
              <w:rPr>
                <w:sz w:val="20"/>
                <w:szCs w:val="20"/>
              </w:rPr>
            </w:pPr>
          </w:p>
          <w:p w:rsidR="000451BA" w:rsidRDefault="000451BA" w:rsidP="00E77A2B">
            <w:pPr>
              <w:tabs>
                <w:tab w:val="left" w:pos="7050"/>
              </w:tabs>
              <w:jc w:val="center"/>
              <w:rPr>
                <w:sz w:val="20"/>
                <w:szCs w:val="20"/>
              </w:rPr>
            </w:pPr>
          </w:p>
          <w:p w:rsidR="000451BA" w:rsidRDefault="000451BA" w:rsidP="00E77A2B">
            <w:pPr>
              <w:tabs>
                <w:tab w:val="left" w:pos="70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22,44</w:t>
            </w:r>
          </w:p>
        </w:tc>
      </w:tr>
      <w:tr w:rsidR="000451BA" w:rsidTr="00E77A2B">
        <w:trPr>
          <w:trHeight w:val="409"/>
        </w:trPr>
        <w:tc>
          <w:tcPr>
            <w:tcW w:w="707" w:type="dxa"/>
            <w:vMerge w:val="restart"/>
          </w:tcPr>
          <w:p w:rsidR="000451BA" w:rsidRDefault="000451BA" w:rsidP="00E77A2B">
            <w:pPr>
              <w:tabs>
                <w:tab w:val="left" w:pos="70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64" w:type="dxa"/>
            <w:gridSpan w:val="4"/>
          </w:tcPr>
          <w:p w:rsidR="000451BA" w:rsidRPr="005B5D73" w:rsidRDefault="000451BA" w:rsidP="00E77A2B">
            <w:pPr>
              <w:tabs>
                <w:tab w:val="left" w:pos="705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5B5D73">
              <w:rPr>
                <w:b/>
                <w:i/>
                <w:sz w:val="20"/>
                <w:szCs w:val="20"/>
              </w:rPr>
              <w:t>уч. Таежный</w:t>
            </w:r>
          </w:p>
        </w:tc>
      </w:tr>
      <w:tr w:rsidR="000451BA" w:rsidTr="00E77A2B">
        <w:trPr>
          <w:trHeight w:val="1068"/>
        </w:trPr>
        <w:tc>
          <w:tcPr>
            <w:tcW w:w="707" w:type="dxa"/>
            <w:vMerge/>
          </w:tcPr>
          <w:p w:rsidR="000451BA" w:rsidRDefault="000451BA" w:rsidP="00E77A2B">
            <w:pPr>
              <w:tabs>
                <w:tab w:val="left" w:pos="7050"/>
              </w:tabs>
              <w:rPr>
                <w:sz w:val="20"/>
                <w:szCs w:val="20"/>
              </w:rPr>
            </w:pPr>
          </w:p>
        </w:tc>
        <w:tc>
          <w:tcPr>
            <w:tcW w:w="2377" w:type="dxa"/>
          </w:tcPr>
          <w:p w:rsidR="000451BA" w:rsidRDefault="000451BA" w:rsidP="00E77A2B">
            <w:pPr>
              <w:tabs>
                <w:tab w:val="left" w:pos="7050"/>
              </w:tabs>
              <w:rPr>
                <w:sz w:val="20"/>
                <w:szCs w:val="20"/>
              </w:rPr>
            </w:pPr>
          </w:p>
          <w:p w:rsidR="000451BA" w:rsidRDefault="000451BA" w:rsidP="00E77A2B">
            <w:pPr>
              <w:tabs>
                <w:tab w:val="left" w:pos="7050"/>
              </w:tabs>
              <w:rPr>
                <w:sz w:val="20"/>
                <w:szCs w:val="20"/>
              </w:rPr>
            </w:pPr>
          </w:p>
          <w:p w:rsidR="000451BA" w:rsidRDefault="000451BA" w:rsidP="00E77A2B">
            <w:pPr>
              <w:tabs>
                <w:tab w:val="left" w:pos="70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потребители</w:t>
            </w:r>
          </w:p>
          <w:p w:rsidR="000451BA" w:rsidRDefault="000451BA" w:rsidP="00E77A2B">
            <w:pPr>
              <w:tabs>
                <w:tab w:val="left" w:pos="70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(без НДС)</w:t>
            </w:r>
          </w:p>
        </w:tc>
        <w:tc>
          <w:tcPr>
            <w:tcW w:w="2728" w:type="dxa"/>
          </w:tcPr>
          <w:p w:rsidR="000451BA" w:rsidRDefault="000451BA" w:rsidP="00E77A2B">
            <w:pPr>
              <w:tabs>
                <w:tab w:val="left" w:pos="7050"/>
              </w:tabs>
              <w:rPr>
                <w:sz w:val="20"/>
                <w:szCs w:val="20"/>
              </w:rPr>
            </w:pPr>
          </w:p>
          <w:p w:rsidR="000451BA" w:rsidRDefault="000451BA" w:rsidP="00E77A2B">
            <w:pPr>
              <w:tabs>
                <w:tab w:val="left" w:pos="7050"/>
              </w:tabs>
              <w:rPr>
                <w:sz w:val="20"/>
                <w:szCs w:val="20"/>
              </w:rPr>
            </w:pPr>
          </w:p>
          <w:p w:rsidR="000451BA" w:rsidRDefault="000451BA" w:rsidP="00E77A2B">
            <w:pPr>
              <w:tabs>
                <w:tab w:val="left" w:pos="70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14. 12.2015 – 31.12.2015</w:t>
            </w:r>
          </w:p>
        </w:tc>
        <w:tc>
          <w:tcPr>
            <w:tcW w:w="1878" w:type="dxa"/>
          </w:tcPr>
          <w:p w:rsidR="000451BA" w:rsidRDefault="000451BA" w:rsidP="00E77A2B">
            <w:pPr>
              <w:tabs>
                <w:tab w:val="left" w:pos="7050"/>
              </w:tabs>
              <w:rPr>
                <w:sz w:val="20"/>
                <w:szCs w:val="20"/>
              </w:rPr>
            </w:pPr>
          </w:p>
          <w:p w:rsidR="000451BA" w:rsidRDefault="000451BA" w:rsidP="00E77A2B">
            <w:pPr>
              <w:tabs>
                <w:tab w:val="left" w:pos="7050"/>
              </w:tabs>
              <w:rPr>
                <w:sz w:val="20"/>
                <w:szCs w:val="20"/>
              </w:rPr>
            </w:pPr>
          </w:p>
          <w:p w:rsidR="000451BA" w:rsidRDefault="000451BA" w:rsidP="00E77A2B">
            <w:pPr>
              <w:tabs>
                <w:tab w:val="left" w:pos="70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2658,77</w:t>
            </w:r>
          </w:p>
        </w:tc>
        <w:tc>
          <w:tcPr>
            <w:tcW w:w="1881" w:type="dxa"/>
          </w:tcPr>
          <w:p w:rsidR="000451BA" w:rsidRDefault="000451BA" w:rsidP="00E77A2B">
            <w:pPr>
              <w:tabs>
                <w:tab w:val="left" w:pos="7050"/>
              </w:tabs>
              <w:rPr>
                <w:sz w:val="20"/>
                <w:szCs w:val="20"/>
              </w:rPr>
            </w:pPr>
          </w:p>
          <w:p w:rsidR="000451BA" w:rsidRDefault="000451BA" w:rsidP="00E77A2B">
            <w:pPr>
              <w:tabs>
                <w:tab w:val="left" w:pos="7050"/>
              </w:tabs>
              <w:rPr>
                <w:sz w:val="20"/>
                <w:szCs w:val="20"/>
              </w:rPr>
            </w:pPr>
          </w:p>
          <w:p w:rsidR="000451BA" w:rsidRDefault="000451BA" w:rsidP="00E77A2B">
            <w:pPr>
              <w:tabs>
                <w:tab w:val="left" w:pos="70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190,58</w:t>
            </w:r>
          </w:p>
        </w:tc>
      </w:tr>
      <w:tr w:rsidR="000451BA" w:rsidTr="00E77A2B">
        <w:trPr>
          <w:trHeight w:val="827"/>
        </w:trPr>
        <w:tc>
          <w:tcPr>
            <w:tcW w:w="707" w:type="dxa"/>
            <w:vMerge/>
          </w:tcPr>
          <w:p w:rsidR="000451BA" w:rsidRDefault="000451BA" w:rsidP="00E77A2B">
            <w:pPr>
              <w:tabs>
                <w:tab w:val="left" w:pos="7050"/>
              </w:tabs>
              <w:rPr>
                <w:sz w:val="20"/>
                <w:szCs w:val="20"/>
              </w:rPr>
            </w:pPr>
          </w:p>
        </w:tc>
        <w:tc>
          <w:tcPr>
            <w:tcW w:w="2377" w:type="dxa"/>
          </w:tcPr>
          <w:p w:rsidR="000451BA" w:rsidRDefault="000451BA" w:rsidP="00E77A2B">
            <w:pPr>
              <w:tabs>
                <w:tab w:val="left" w:pos="7050"/>
              </w:tabs>
              <w:rPr>
                <w:sz w:val="20"/>
                <w:szCs w:val="20"/>
              </w:rPr>
            </w:pPr>
          </w:p>
          <w:p w:rsidR="000451BA" w:rsidRDefault="000451BA" w:rsidP="00E77A2B">
            <w:pPr>
              <w:tabs>
                <w:tab w:val="left" w:pos="7050"/>
              </w:tabs>
              <w:rPr>
                <w:sz w:val="20"/>
                <w:szCs w:val="20"/>
              </w:rPr>
            </w:pPr>
          </w:p>
          <w:p w:rsidR="000451BA" w:rsidRDefault="000451BA" w:rsidP="00E77A2B">
            <w:pPr>
              <w:tabs>
                <w:tab w:val="left" w:pos="70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Население (без НДС)</w:t>
            </w:r>
          </w:p>
        </w:tc>
        <w:tc>
          <w:tcPr>
            <w:tcW w:w="2728" w:type="dxa"/>
          </w:tcPr>
          <w:p w:rsidR="000451BA" w:rsidRDefault="000451BA" w:rsidP="00E77A2B">
            <w:pPr>
              <w:tabs>
                <w:tab w:val="left" w:pos="7050"/>
              </w:tabs>
              <w:rPr>
                <w:sz w:val="20"/>
                <w:szCs w:val="20"/>
              </w:rPr>
            </w:pPr>
          </w:p>
          <w:p w:rsidR="000451BA" w:rsidRDefault="000451BA" w:rsidP="00E77A2B">
            <w:pPr>
              <w:tabs>
                <w:tab w:val="left" w:pos="70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14.12.2015 – 31.12.2015</w:t>
            </w:r>
          </w:p>
        </w:tc>
        <w:tc>
          <w:tcPr>
            <w:tcW w:w="1878" w:type="dxa"/>
          </w:tcPr>
          <w:p w:rsidR="000451BA" w:rsidRDefault="000451BA" w:rsidP="00E77A2B">
            <w:pPr>
              <w:tabs>
                <w:tab w:val="left" w:pos="7050"/>
              </w:tabs>
              <w:rPr>
                <w:sz w:val="20"/>
                <w:szCs w:val="20"/>
              </w:rPr>
            </w:pPr>
          </w:p>
          <w:p w:rsidR="000451BA" w:rsidRDefault="000451BA" w:rsidP="00E77A2B">
            <w:pPr>
              <w:tabs>
                <w:tab w:val="left" w:pos="70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1880,06</w:t>
            </w:r>
          </w:p>
        </w:tc>
        <w:tc>
          <w:tcPr>
            <w:tcW w:w="1881" w:type="dxa"/>
          </w:tcPr>
          <w:p w:rsidR="000451BA" w:rsidRDefault="000451BA" w:rsidP="00E77A2B">
            <w:pPr>
              <w:tabs>
                <w:tab w:val="left" w:pos="7050"/>
              </w:tabs>
              <w:rPr>
                <w:sz w:val="20"/>
                <w:szCs w:val="20"/>
              </w:rPr>
            </w:pPr>
          </w:p>
          <w:p w:rsidR="000451BA" w:rsidRDefault="000451BA" w:rsidP="00E77A2B">
            <w:pPr>
              <w:tabs>
                <w:tab w:val="left" w:pos="70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21,04</w:t>
            </w:r>
          </w:p>
        </w:tc>
      </w:tr>
    </w:tbl>
    <w:p w:rsidR="000451BA" w:rsidRDefault="000451BA" w:rsidP="000451BA">
      <w:pPr>
        <w:tabs>
          <w:tab w:val="left" w:pos="7050"/>
        </w:tabs>
        <w:rPr>
          <w:sz w:val="20"/>
          <w:szCs w:val="20"/>
        </w:rPr>
      </w:pPr>
    </w:p>
    <w:p w:rsidR="000451BA" w:rsidRDefault="000451BA" w:rsidP="000451BA">
      <w:pPr>
        <w:tabs>
          <w:tab w:val="left" w:pos="7050"/>
        </w:tabs>
        <w:rPr>
          <w:sz w:val="20"/>
          <w:szCs w:val="20"/>
        </w:rPr>
      </w:pPr>
    </w:p>
    <w:p w:rsidR="000451BA" w:rsidRDefault="000451BA" w:rsidP="000451BA">
      <w:pPr>
        <w:tabs>
          <w:tab w:val="left" w:pos="7050"/>
        </w:tabs>
        <w:rPr>
          <w:sz w:val="20"/>
          <w:szCs w:val="20"/>
        </w:rPr>
      </w:pPr>
    </w:p>
    <w:p w:rsidR="000451BA" w:rsidRDefault="000451BA" w:rsidP="000451BA">
      <w:pPr>
        <w:tabs>
          <w:tab w:val="left" w:pos="7050"/>
        </w:tabs>
        <w:rPr>
          <w:sz w:val="20"/>
          <w:szCs w:val="20"/>
        </w:rPr>
      </w:pPr>
      <w:r>
        <w:rPr>
          <w:sz w:val="20"/>
          <w:szCs w:val="20"/>
        </w:rPr>
        <w:t>Специалист по муниципальным</w:t>
      </w:r>
    </w:p>
    <w:p w:rsidR="000451BA" w:rsidRDefault="000451BA" w:rsidP="000451BA">
      <w:pPr>
        <w:tabs>
          <w:tab w:val="left" w:pos="7050"/>
        </w:tabs>
        <w:rPr>
          <w:sz w:val="20"/>
          <w:szCs w:val="20"/>
        </w:rPr>
      </w:pPr>
      <w:r>
        <w:rPr>
          <w:sz w:val="20"/>
          <w:szCs w:val="20"/>
        </w:rPr>
        <w:t>закупкам и тарифам ЖКХ                                                                                                      Е.А.Пастушкина</w:t>
      </w:r>
    </w:p>
    <w:p w:rsidR="000451BA" w:rsidRDefault="000451BA" w:rsidP="000451BA">
      <w:pPr>
        <w:tabs>
          <w:tab w:val="left" w:pos="7050"/>
        </w:tabs>
        <w:rPr>
          <w:sz w:val="20"/>
          <w:szCs w:val="20"/>
        </w:rPr>
      </w:pPr>
    </w:p>
    <w:p w:rsidR="000451BA" w:rsidRDefault="000451BA" w:rsidP="000451BA">
      <w:pPr>
        <w:tabs>
          <w:tab w:val="left" w:pos="7050"/>
        </w:tabs>
        <w:rPr>
          <w:sz w:val="20"/>
          <w:szCs w:val="20"/>
        </w:rPr>
      </w:pPr>
    </w:p>
    <w:p w:rsidR="000451BA" w:rsidRDefault="000451BA" w:rsidP="0095454A">
      <w:pPr>
        <w:jc w:val="both"/>
        <w:rPr>
          <w:rFonts w:ascii="Times New Roman" w:hAnsi="Times New Roman" w:cs="Times New Roman"/>
        </w:rPr>
      </w:pPr>
    </w:p>
    <w:p w:rsidR="000451BA" w:rsidRPr="00AE29F6" w:rsidRDefault="000451BA" w:rsidP="0095454A">
      <w:pPr>
        <w:jc w:val="both"/>
        <w:rPr>
          <w:rFonts w:ascii="Times New Roman" w:hAnsi="Times New Roman" w:cs="Times New Roman"/>
        </w:rPr>
      </w:pPr>
    </w:p>
    <w:p w:rsidR="007B43ED" w:rsidRPr="00AE29F6" w:rsidRDefault="007B43ED" w:rsidP="0095454A">
      <w:pPr>
        <w:jc w:val="both"/>
        <w:rPr>
          <w:rFonts w:ascii="Times New Roman" w:hAnsi="Times New Roman" w:cs="Times New Roman"/>
        </w:rPr>
      </w:pPr>
    </w:p>
    <w:p w:rsidR="007B43ED" w:rsidRPr="00AE29F6" w:rsidRDefault="007B43ED" w:rsidP="0095454A">
      <w:pPr>
        <w:jc w:val="both"/>
        <w:rPr>
          <w:rFonts w:ascii="Times New Roman" w:hAnsi="Times New Roman" w:cs="Times New Roman"/>
        </w:rPr>
      </w:pPr>
    </w:p>
    <w:p w:rsidR="00A906A3" w:rsidRDefault="00A906A3" w:rsidP="001F4812">
      <w:pPr>
        <w:jc w:val="both"/>
        <w:rPr>
          <w:rFonts w:ascii="Times New Roman" w:hAnsi="Times New Roman" w:cs="Times New Roman"/>
        </w:rPr>
      </w:pPr>
    </w:p>
    <w:p w:rsidR="00A906A3" w:rsidRDefault="00A906A3" w:rsidP="001F4812">
      <w:pPr>
        <w:jc w:val="both"/>
        <w:rPr>
          <w:rFonts w:ascii="Times New Roman" w:hAnsi="Times New Roman" w:cs="Times New Roman"/>
        </w:rPr>
      </w:pPr>
    </w:p>
    <w:sectPr w:rsidR="00A906A3" w:rsidSect="00D75969">
      <w:type w:val="continuous"/>
      <w:pgSz w:w="11909" w:h="16834"/>
      <w:pgMar w:top="1418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E12" w:rsidRDefault="00DD4E12">
      <w:r>
        <w:separator/>
      </w:r>
    </w:p>
  </w:endnote>
  <w:endnote w:type="continuationSeparator" w:id="0">
    <w:p w:rsidR="00DD4E12" w:rsidRDefault="00DD4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E12" w:rsidRDefault="00DD4E12"/>
  </w:footnote>
  <w:footnote w:type="continuationSeparator" w:id="0">
    <w:p w:rsidR="00DD4E12" w:rsidRDefault="00DD4E1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20FB4"/>
    <w:multiLevelType w:val="multilevel"/>
    <w:tmpl w:val="20326922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BBB"/>
    <w:rsid w:val="00001CAB"/>
    <w:rsid w:val="00007A9E"/>
    <w:rsid w:val="000227ED"/>
    <w:rsid w:val="000353DB"/>
    <w:rsid w:val="000451BA"/>
    <w:rsid w:val="000541C6"/>
    <w:rsid w:val="000640B7"/>
    <w:rsid w:val="00083180"/>
    <w:rsid w:val="000B329A"/>
    <w:rsid w:val="00117E32"/>
    <w:rsid w:val="001555C7"/>
    <w:rsid w:val="0015685C"/>
    <w:rsid w:val="00177D5D"/>
    <w:rsid w:val="001F284E"/>
    <w:rsid w:val="001F4812"/>
    <w:rsid w:val="001F58E6"/>
    <w:rsid w:val="002061E7"/>
    <w:rsid w:val="00232670"/>
    <w:rsid w:val="00244C3D"/>
    <w:rsid w:val="0026756D"/>
    <w:rsid w:val="002A4A95"/>
    <w:rsid w:val="002C723B"/>
    <w:rsid w:val="0031424C"/>
    <w:rsid w:val="00336F63"/>
    <w:rsid w:val="0035189E"/>
    <w:rsid w:val="00371068"/>
    <w:rsid w:val="0039203A"/>
    <w:rsid w:val="00420AAF"/>
    <w:rsid w:val="00477BC6"/>
    <w:rsid w:val="004F24C7"/>
    <w:rsid w:val="0050047E"/>
    <w:rsid w:val="00530964"/>
    <w:rsid w:val="00532F95"/>
    <w:rsid w:val="00553CDD"/>
    <w:rsid w:val="005E209E"/>
    <w:rsid w:val="005F0C09"/>
    <w:rsid w:val="00611B41"/>
    <w:rsid w:val="0061684A"/>
    <w:rsid w:val="00631E2B"/>
    <w:rsid w:val="00645F25"/>
    <w:rsid w:val="006A524D"/>
    <w:rsid w:val="006B070D"/>
    <w:rsid w:val="006F11DA"/>
    <w:rsid w:val="006F3116"/>
    <w:rsid w:val="00702756"/>
    <w:rsid w:val="0072222A"/>
    <w:rsid w:val="00733E67"/>
    <w:rsid w:val="007953FF"/>
    <w:rsid w:val="007B1632"/>
    <w:rsid w:val="007B43ED"/>
    <w:rsid w:val="007C79A1"/>
    <w:rsid w:val="007D55A4"/>
    <w:rsid w:val="007F60B3"/>
    <w:rsid w:val="008029A8"/>
    <w:rsid w:val="0083044F"/>
    <w:rsid w:val="00835EFE"/>
    <w:rsid w:val="00845CE8"/>
    <w:rsid w:val="009046B2"/>
    <w:rsid w:val="00907664"/>
    <w:rsid w:val="00944693"/>
    <w:rsid w:val="0095454A"/>
    <w:rsid w:val="00967D62"/>
    <w:rsid w:val="009A5E73"/>
    <w:rsid w:val="009A63B5"/>
    <w:rsid w:val="009C339C"/>
    <w:rsid w:val="009D78A4"/>
    <w:rsid w:val="00A01DA2"/>
    <w:rsid w:val="00A13E64"/>
    <w:rsid w:val="00A607B1"/>
    <w:rsid w:val="00A8233D"/>
    <w:rsid w:val="00A86B37"/>
    <w:rsid w:val="00A906A3"/>
    <w:rsid w:val="00AA6A99"/>
    <w:rsid w:val="00AD30AF"/>
    <w:rsid w:val="00AE29F6"/>
    <w:rsid w:val="00AE7156"/>
    <w:rsid w:val="00B13CAD"/>
    <w:rsid w:val="00B35704"/>
    <w:rsid w:val="00B44AC5"/>
    <w:rsid w:val="00B45D47"/>
    <w:rsid w:val="00BA3082"/>
    <w:rsid w:val="00BB18E3"/>
    <w:rsid w:val="00C06D9B"/>
    <w:rsid w:val="00CE237A"/>
    <w:rsid w:val="00D60A03"/>
    <w:rsid w:val="00D71EF1"/>
    <w:rsid w:val="00D75969"/>
    <w:rsid w:val="00D85937"/>
    <w:rsid w:val="00D934B5"/>
    <w:rsid w:val="00DB36DA"/>
    <w:rsid w:val="00DC62B3"/>
    <w:rsid w:val="00DD4E12"/>
    <w:rsid w:val="00DE190D"/>
    <w:rsid w:val="00DF758B"/>
    <w:rsid w:val="00E159C2"/>
    <w:rsid w:val="00E35A15"/>
    <w:rsid w:val="00E53EA4"/>
    <w:rsid w:val="00E550A2"/>
    <w:rsid w:val="00E57BBB"/>
    <w:rsid w:val="00E8522B"/>
    <w:rsid w:val="00EB4AE8"/>
    <w:rsid w:val="00ED160A"/>
    <w:rsid w:val="00F13CCB"/>
    <w:rsid w:val="00F165E6"/>
    <w:rsid w:val="00F22CB6"/>
    <w:rsid w:val="00F367CC"/>
    <w:rsid w:val="00F83BF8"/>
    <w:rsid w:val="00FD7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433875-B198-4A5D-8475-42363709A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0227ED"/>
    <w:pPr>
      <w:ind w:left="720"/>
      <w:contextualSpacing/>
    </w:pPr>
  </w:style>
  <w:style w:type="table" w:styleId="a6">
    <w:name w:val="Table Grid"/>
    <w:basedOn w:val="a1"/>
    <w:uiPriority w:val="59"/>
    <w:rsid w:val="00D759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E19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190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7A4E1-EF52-411F-8E57-8B6537B78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2015-12-14T01:29:00Z</cp:lastPrinted>
  <dcterms:created xsi:type="dcterms:W3CDTF">2015-12-14T01:05:00Z</dcterms:created>
  <dcterms:modified xsi:type="dcterms:W3CDTF">2016-06-01T06:54:00Z</dcterms:modified>
</cp:coreProperties>
</file>